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附件3</w:t>
      </w:r>
    </w:p>
    <w:p>
      <w:pPr>
        <w:spacing w:afterLines="100" w:line="700" w:lineRule="exact"/>
        <w:jc w:val="center"/>
        <w:rPr>
          <w:rFonts w:hint="eastAsia" w:ascii="小标宋" w:hAnsi="小标宋" w:eastAsia="小标宋" w:cs="小标宋"/>
          <w:bCs/>
          <w:kern w:val="0"/>
          <w:sz w:val="44"/>
          <w:szCs w:val="44"/>
        </w:rPr>
      </w:pPr>
      <w:r>
        <w:rPr>
          <w:rFonts w:hint="eastAsia" w:ascii="小标宋" w:hAnsi="小标宋" w:eastAsia="小标宋" w:cs="小标宋"/>
          <w:bCs/>
          <w:kern w:val="0"/>
          <w:sz w:val="44"/>
          <w:szCs w:val="44"/>
        </w:rPr>
        <w:t>2018-2021年重大问题难题清单</w:t>
      </w:r>
    </w:p>
    <w:p>
      <w:pPr>
        <w:spacing w:afterLines="100" w:line="700" w:lineRule="exact"/>
        <w:jc w:val="center"/>
        <w:rPr>
          <w:rFonts w:ascii="方正小标宋简体" w:hAnsi="方正小标宋简体" w:eastAsia="方正小标宋简体" w:cs="方正小标宋简体"/>
          <w:bCs/>
          <w:kern w:val="0"/>
          <w:sz w:val="36"/>
          <w:szCs w:val="36"/>
        </w:rPr>
      </w:pPr>
      <w:r>
        <w:rPr>
          <w:rFonts w:hint="eastAsia" w:ascii="小标宋" w:hAnsi="小标宋" w:eastAsia="小标宋" w:cs="小标宋"/>
          <w:bCs/>
          <w:kern w:val="0"/>
          <w:sz w:val="36"/>
          <w:szCs w:val="36"/>
        </w:rPr>
        <w:t>（一）前沿科学问题清单</w:t>
      </w:r>
    </w:p>
    <w:tbl>
      <w:tblPr>
        <w:tblStyle w:val="3"/>
        <w:tblW w:w="0" w:type="pct"/>
        <w:jc w:val="center"/>
        <w:tblLayout w:type="fixed"/>
        <w:tblCellMar>
          <w:top w:w="0" w:type="dxa"/>
          <w:left w:w="108" w:type="dxa"/>
          <w:bottom w:w="0" w:type="dxa"/>
          <w:right w:w="108" w:type="dxa"/>
        </w:tblCellMar>
      </w:tblPr>
      <w:tblGrid>
        <w:gridCol w:w="735"/>
        <w:gridCol w:w="1790"/>
        <w:gridCol w:w="1125"/>
        <w:gridCol w:w="6037"/>
      </w:tblGrid>
      <w:tr>
        <w:tblPrEx>
          <w:tblCellMar>
            <w:top w:w="0" w:type="dxa"/>
            <w:left w:w="108" w:type="dxa"/>
            <w:bottom w:w="0" w:type="dxa"/>
            <w:right w:w="108" w:type="dxa"/>
          </w:tblCellMar>
        </w:tblPrEx>
        <w:trPr>
          <w:trHeight w:val="340" w:hRule="atLeast"/>
          <w:tblHeader/>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1790"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领域</w:t>
            </w: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年份</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题 目</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90" w:type="dxa"/>
            <w:vMerge w:val="restart"/>
            <w:tcBorders>
              <w:top w:val="single" w:color="000000" w:sz="4" w:space="0"/>
              <w:left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ascii="宋体" w:hAnsi="宋体" w:eastAsia="宋体" w:cs="宋体"/>
                <w:color w:val="000000"/>
                <w:kern w:val="0"/>
                <w:sz w:val="24"/>
                <w:szCs w:val="24"/>
              </w:rPr>
              <w:t>地球科学</w:t>
            </w:r>
          </w:p>
          <w:p>
            <w:pPr>
              <w:overflowPunct w:val="0"/>
              <w:autoSpaceDE w:val="0"/>
              <w:autoSpaceDN w:val="0"/>
              <w:adjustRightInd w:val="0"/>
              <w:jc w:val="center"/>
              <w:textAlignment w:val="center"/>
              <w:rPr>
                <w:rFonts w:ascii="宋体" w:hAnsi="宋体" w:eastAsia="宋体" w:cs="宋体"/>
                <w:color w:val="000000"/>
                <w:kern w:val="0"/>
                <w:sz w:val="24"/>
                <w:szCs w:val="24"/>
              </w:rPr>
            </w:pPr>
            <w:r>
              <w:rPr>
                <w:rFonts w:ascii="宋体" w:hAnsi="宋体" w:eastAsia="宋体" w:cs="宋体"/>
                <w:color w:val="000000"/>
                <w:kern w:val="0"/>
                <w:sz w:val="24"/>
                <w:szCs w:val="24"/>
              </w:rPr>
              <w:t>（含深地深海）</w:t>
            </w: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如何揭示板块运动动力机制?</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790"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“亚洲水塔”失衡失稳对青藏高原河流水系的影响如何？</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790"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地球物质是如何演化与循环的？</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790"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数字交通基础设施如何推动自动驾驶与车路协同发展？</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790"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大地震机制及其物理预测方法</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790"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空间天气的及时准确预报</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790"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岩石圈构造应力场及其作用过程</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790" w:type="dxa"/>
            <w:vMerge w:val="continue"/>
            <w:tcBorders>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川藏铁路建设难点</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790" w:type="dxa"/>
            <w:tcBorders>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空天科技</w:t>
            </w: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地球以外有统一的时间规则吗？</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790" w:type="dxa"/>
            <w:vMerge w:val="restart"/>
            <w:tcBorders>
              <w:top w:val="single" w:color="000000" w:sz="4" w:space="0"/>
              <w:left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农业科技</w:t>
            </w:r>
          </w:p>
          <w:p>
            <w:pPr>
              <w:overflowPunct w:val="0"/>
              <w:autoSpaceDE w:val="0"/>
              <w:autoSpaceDN w:val="0"/>
              <w:adjustRightInd w:val="0"/>
              <w:jc w:val="center"/>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（含食品）</w:t>
            </w: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农作物基因到表型的环境调控网络是什么？</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790"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植物无融合生殖的生物学基础是什么？</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790" w:type="dxa"/>
            <w:vMerge w:val="continue"/>
            <w:tcBorders>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spacing w:val="-6"/>
                <w:kern w:val="0"/>
                <w:sz w:val="24"/>
                <w:szCs w:val="24"/>
              </w:rPr>
            </w:pPr>
            <w:r>
              <w:rPr>
                <w:rFonts w:hint="eastAsia" w:ascii="宋体" w:hAnsi="宋体" w:eastAsia="宋体" w:cs="宋体"/>
                <w:color w:val="000000"/>
                <w:kern w:val="0"/>
                <w:sz w:val="24"/>
                <w:szCs w:val="24"/>
              </w:rPr>
              <w:t>绿色农药创新研究和原创性靶标的发现</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790" w:type="dxa"/>
            <w:vMerge w:val="restart"/>
            <w:tcBorders>
              <w:top w:val="single" w:color="auto" w:sz="4" w:space="0"/>
              <w:left w:val="single" w:color="auto" w:sz="4" w:space="0"/>
              <w:right w:val="single" w:color="auto"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生命健康</w:t>
            </w:r>
          </w:p>
          <w:p>
            <w:pPr>
              <w:overflowPunct w:val="0"/>
              <w:autoSpaceDE w:val="0"/>
              <w:autoSpaceDN w:val="0"/>
              <w:adjustRightInd w:val="0"/>
              <w:jc w:val="center"/>
              <w:textAlignment w:val="center"/>
              <w:rPr>
                <w:rFonts w:ascii="Calibri" w:hAnsi="Calibri" w:eastAsia="宋体" w:cs="Times New Roman"/>
                <w:kern w:val="0"/>
                <w:sz w:val="24"/>
                <w:szCs w:val="24"/>
              </w:rPr>
            </w:pPr>
            <w:r>
              <w:rPr>
                <w:rFonts w:hint="eastAsia" w:ascii="宋体" w:hAnsi="宋体" w:eastAsia="宋体" w:cs="宋体"/>
                <w:color w:val="000000"/>
                <w:kern w:val="0"/>
                <w:sz w:val="24"/>
                <w:szCs w:val="24"/>
              </w:rPr>
              <w:t>（含医学）</w:t>
            </w: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大脑中的记忆是如何产生和重现的？</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冠状病毒跨种传播的生态学机制是什么？</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调节人体免疫功能的中医药机制是什么？</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细胞器之间的相互作用</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情绪意识的产生根源</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原创药物靶标发现的新途径与新方法</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遗传信息的结构编码——纳米尺度遗传信息动态结构解析</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植物工厂人工环境条件下植物的生长发育调控</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spacing w:val="-8"/>
                <w:kern w:val="0"/>
                <w:sz w:val="24"/>
                <w:szCs w:val="24"/>
              </w:rPr>
            </w:pPr>
            <w:r>
              <w:rPr>
                <w:rFonts w:hint="eastAsia" w:ascii="宋体" w:hAnsi="宋体" w:eastAsia="宋体" w:cs="宋体"/>
                <w:color w:val="000000"/>
                <w:kern w:val="0"/>
                <w:sz w:val="24"/>
                <w:szCs w:val="24"/>
              </w:rPr>
              <w:t>细胞命运决定机制的研究</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spacing w:val="-4"/>
                <w:kern w:val="0"/>
                <w:sz w:val="24"/>
                <w:szCs w:val="24"/>
              </w:rPr>
            </w:pPr>
            <w:r>
              <w:rPr>
                <w:rFonts w:hint="eastAsia" w:ascii="宋体" w:hAnsi="宋体" w:eastAsia="宋体" w:cs="宋体"/>
                <w:color w:val="000000"/>
                <w:kern w:val="0"/>
                <w:sz w:val="24"/>
                <w:szCs w:val="24"/>
              </w:rPr>
              <w:t>人类智能的基因调控机理</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全球变化对动物的影响及应对</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植物对逆境的记忆功能与进化</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意识读取的前沿问题和关键技术</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瘤转移机制与抗肿瘤转移新药研发</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790" w:type="dxa"/>
            <w:vMerge w:val="continue"/>
            <w:tcBorders>
              <w:left w:val="single" w:color="auto"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老年性痴呆的机制解析及诊治难点</w:t>
            </w:r>
          </w:p>
        </w:tc>
      </w:tr>
      <w:tr>
        <w:tblPrEx>
          <w:tblCellMar>
            <w:top w:w="0" w:type="dxa"/>
            <w:left w:w="108" w:type="dxa"/>
            <w:bottom w:w="0" w:type="dxa"/>
            <w:right w:w="108" w:type="dxa"/>
          </w:tblCellMar>
        </w:tblPrEx>
        <w:trPr>
          <w:trHeight w:val="351" w:hRule="atLeast"/>
          <w:jc w:val="center"/>
        </w:trPr>
        <w:tc>
          <w:tcPr>
            <w:tcW w:w="735" w:type="dxa"/>
            <w:tcBorders>
              <w:top w:val="single" w:color="000000" w:sz="4" w:space="0"/>
              <w:left w:val="single" w:color="000000" w:sz="4" w:space="0"/>
              <w:bottom w:val="single" w:color="000000" w:sz="4" w:space="0"/>
              <w:right w:val="single" w:color="auto"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790" w:type="dxa"/>
            <w:vMerge w:val="continue"/>
            <w:tcBorders>
              <w:left w:val="single" w:color="auto" w:sz="4" w:space="0"/>
              <w:bottom w:val="single" w:color="000000" w:sz="4" w:space="0"/>
              <w:right w:val="single" w:color="auto"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auto"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精神疾病的新型治疗方法</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79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数理化基础</w:t>
            </w:r>
          </w:p>
          <w:p>
            <w:pPr>
              <w:overflowPunct w:val="0"/>
              <w:autoSpaceDE w:val="0"/>
              <w:autoSpaceDN w:val="0"/>
              <w:adjustRightInd w:val="0"/>
              <w:jc w:val="center"/>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科学</w:t>
            </w: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纳米尺度下高效催化反应的作用机制是什么？</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790"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中微子质量和宇宙物质-反物质不对称的起源是什么？</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790"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引力波将如何揭示宇宙奥秘？</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暗物质是种能探测到的基本粒子吗</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spacing w:val="-8"/>
                <w:kern w:val="0"/>
                <w:sz w:val="24"/>
                <w:szCs w:val="24"/>
              </w:rPr>
            </w:pPr>
            <w:r>
              <w:rPr>
                <w:rFonts w:hint="eastAsia" w:ascii="宋体" w:hAnsi="宋体" w:eastAsia="宋体" w:cs="宋体"/>
                <w:color w:val="000000"/>
                <w:kern w:val="0"/>
                <w:sz w:val="24"/>
                <w:szCs w:val="24"/>
              </w:rPr>
              <w:t>对激光核聚变新途径的探索</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单原子催化剂的催化反应机理</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记忆的物理化学基础</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单分子化学反应动态过程的可视化</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超临界场强的量子电动力学效应</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宇宙中重元素的起源</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极端条件下的可控燃烧</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179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先进材料</w:t>
            </w: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如何突破大尺寸晶体材料的制备理论和技术？</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1790"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高性能热电材料</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spacing w:val="-6"/>
                <w:kern w:val="0"/>
                <w:sz w:val="24"/>
                <w:szCs w:val="24"/>
              </w:rPr>
            </w:pPr>
            <w:r>
              <w:rPr>
                <w:rFonts w:hint="eastAsia" w:ascii="宋体" w:hAnsi="宋体" w:eastAsia="宋体" w:cs="宋体"/>
                <w:color w:val="000000"/>
                <w:kern w:val="0"/>
                <w:sz w:val="24"/>
                <w:szCs w:val="24"/>
              </w:rPr>
              <w:t>核能系统高安全结构材料</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高活性可见光催化材料</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人工智能技术与新型智能复合材料的深度融合</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179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信息科技</w:t>
            </w: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如何建立虚拟孪生理论和技术基础并开展示范应用？</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人工智能系统的智能生成机理</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类脑计算</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新一代认知物联网关键技术研究</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抗量子密码算法技术</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人与机器的情感交互</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179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制造科技</w:t>
            </w: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铝合金超低温变形双增效应的物理机制是什么？</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1790"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特种能场辅助制造的科学原理是什么？</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人机共融关键技术</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高性能动力电池研发技术</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spacing w:val="-10"/>
                <w:kern w:val="0"/>
                <w:sz w:val="24"/>
                <w:szCs w:val="24"/>
              </w:rPr>
            </w:pPr>
            <w:r>
              <w:rPr>
                <w:rFonts w:hint="eastAsia" w:ascii="宋体" w:hAnsi="宋体" w:eastAsia="宋体" w:cs="宋体"/>
                <w:color w:val="000000"/>
                <w:kern w:val="0"/>
                <w:sz w:val="24"/>
                <w:szCs w:val="24"/>
              </w:rPr>
              <w:t>新一代智能制造系统</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179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生态环境</w:t>
            </w: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如何优化变化环境下我国水资源承载力，实现健康的区域水平衡状态？</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脆弱生境生物多样性的维持机制</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179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资源能源</w:t>
            </w: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以新能源为主体的新型电力系统路径优化和稳定机理是什么？</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1790"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第五代核能系统会是什么样子？</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氢燃料电池动力系统</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可再生合成燃料</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绿色安全高效的低成本制氢技术</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高效长寿命低成本电化学电力储能技术</w:t>
            </w:r>
          </w:p>
        </w:tc>
      </w:tr>
      <w:tr>
        <w:tblPrEx>
          <w:tblCellMar>
            <w:top w:w="0" w:type="dxa"/>
            <w:left w:w="108" w:type="dxa"/>
            <w:bottom w:w="0" w:type="dxa"/>
            <w:right w:w="108" w:type="dxa"/>
          </w:tblCellMar>
        </w:tblPrEx>
        <w:trPr>
          <w:trHeight w:val="312" w:hRule="atLeast"/>
          <w:jc w:val="center"/>
        </w:trPr>
        <w:tc>
          <w:tcPr>
            <w:tcW w:w="73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179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海洋生态系统储碳与全球变化</w:t>
            </w:r>
          </w:p>
        </w:tc>
      </w:tr>
    </w:tbl>
    <w:p>
      <w:pPr>
        <w:spacing w:afterLines="100" w:line="700" w:lineRule="exact"/>
        <w:jc w:val="center"/>
        <w:rPr>
          <w:rFonts w:hint="eastAsia" w:ascii="小标宋" w:hAnsi="小标宋" w:eastAsia="小标宋" w:cs="小标宋"/>
          <w:bCs/>
          <w:kern w:val="0"/>
          <w:sz w:val="36"/>
          <w:szCs w:val="36"/>
        </w:rPr>
      </w:pPr>
      <w:r>
        <w:rPr>
          <w:rFonts w:ascii="仿宋_GB2312" w:hAnsi="Garamond" w:eastAsia="仿宋_GB2312" w:cs="Times New Roman"/>
          <w:kern w:val="0"/>
          <w:sz w:val="30"/>
          <w:szCs w:val="28"/>
        </w:rPr>
        <w:br w:type="page"/>
      </w:r>
      <w:r>
        <w:rPr>
          <w:rFonts w:hint="eastAsia" w:ascii="小标宋" w:hAnsi="小标宋" w:eastAsia="小标宋" w:cs="小标宋"/>
          <w:bCs/>
          <w:kern w:val="0"/>
          <w:sz w:val="36"/>
          <w:szCs w:val="36"/>
        </w:rPr>
        <w:t>（二）工程技术难题清单</w:t>
      </w:r>
    </w:p>
    <w:tbl>
      <w:tblPr>
        <w:tblStyle w:val="3"/>
        <w:tblW w:w="9689" w:type="dxa"/>
        <w:jc w:val="center"/>
        <w:tblLayout w:type="fixed"/>
        <w:tblCellMar>
          <w:top w:w="0" w:type="dxa"/>
          <w:left w:w="108" w:type="dxa"/>
          <w:bottom w:w="0" w:type="dxa"/>
          <w:right w:w="108" w:type="dxa"/>
        </w:tblCellMar>
      </w:tblPr>
      <w:tblGrid>
        <w:gridCol w:w="737"/>
        <w:gridCol w:w="1791"/>
        <w:gridCol w:w="1123"/>
        <w:gridCol w:w="6038"/>
      </w:tblGrid>
      <w:tr>
        <w:tblPrEx>
          <w:tblCellMar>
            <w:top w:w="0" w:type="dxa"/>
            <w:left w:w="108" w:type="dxa"/>
            <w:bottom w:w="0" w:type="dxa"/>
            <w:right w:w="108" w:type="dxa"/>
          </w:tblCellMar>
        </w:tblPrEx>
        <w:trPr>
          <w:trHeight w:val="340" w:hRule="atLeast"/>
          <w:tblHeader/>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1791"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领域</w:t>
            </w: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年份</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题 目</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地球科学</w:t>
            </w:r>
          </w:p>
          <w:p>
            <w:pPr>
              <w:overflowPunct w:val="0"/>
              <w:autoSpaceDE w:val="0"/>
              <w:autoSpaceDN w:val="0"/>
              <w:adjustRightInd w:val="0"/>
              <w:jc w:val="center"/>
              <w:textAlignment w:val="baseline"/>
              <w:rPr>
                <w:rFonts w:ascii="宋体" w:hAnsi="宋体" w:eastAsia="宋体" w:cs="宋体"/>
                <w:b/>
                <w:color w:val="000000"/>
                <w:kern w:val="0"/>
                <w:sz w:val="24"/>
                <w:szCs w:val="24"/>
              </w:rPr>
            </w:pPr>
            <w:r>
              <w:rPr>
                <w:rFonts w:hint="eastAsia" w:ascii="宋体" w:hAnsi="宋体" w:eastAsia="宋体" w:cs="宋体"/>
                <w:color w:val="000000"/>
                <w:kern w:val="0"/>
                <w:sz w:val="24"/>
                <w:szCs w:val="24"/>
              </w:rPr>
              <w:t>（含深地深海）</w:t>
            </w: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如何发展我国自主超高分辨率立体测图卫星关键技术？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如何突破深远海航行装备制造与安全保障工程技术难点？</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无人车如何实现在卫星不可用条件下的高精度智能导航？</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如何突破进藏高速公路智能建造及工程健康保障技术？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近地小天体调查、防御与开发问题</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超高精度量子惯性导航技术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基于北斗卫星和5G通信技术的新型高速铁路列车运行控制技术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高原高寒冻土地区高速铁路与公路修建关键技术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时速1000公里及以上低真空管道运输高速磁悬浮铁路建造关键技术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跨深大海峡通道（悬浮隧道）关键技术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面向未来交通的路网全感知技术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未来城市地下交通及物流系统</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1791" w:type="dxa"/>
            <w:vMerge w:val="restart"/>
            <w:tcBorders>
              <w:top w:val="single" w:color="000000" w:sz="4" w:space="0"/>
              <w:left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空天科技</w:t>
            </w: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水平起降组合动力运载器一体化设计为何成为空天技术新焦点？</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绿色超声速民机设计技术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重复使用航天运输系统设计与评估技术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航天运输技术难题</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飞机级系统架构设计及仿真技术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1791" w:type="dxa"/>
            <w:vMerge w:val="continue"/>
            <w:tcBorders>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面向工程应用的高精度动态测量</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农业科技</w:t>
            </w:r>
          </w:p>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（含食品）</w:t>
            </w: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spacing w:val="-8"/>
                <w:kern w:val="0"/>
                <w:sz w:val="24"/>
                <w:szCs w:val="24"/>
              </w:rPr>
            </w:pPr>
            <w:r>
              <w:rPr>
                <w:rFonts w:hint="eastAsia" w:ascii="宋体" w:hAnsi="宋体" w:eastAsia="宋体" w:cs="宋体"/>
                <w:color w:val="000000"/>
                <w:kern w:val="0"/>
                <w:sz w:val="24"/>
                <w:szCs w:val="24"/>
              </w:rPr>
              <w:t>如何高效利用农业微生物种质资源？</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ind w:right="-210" w:rightChars="-100"/>
              <w:jc w:val="left"/>
              <w:textAlignment w:val="center"/>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如何实现农业重大入侵生物的前瞻性风险预警和实时控制？</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spacing w:val="-8"/>
                <w:kern w:val="0"/>
                <w:sz w:val="24"/>
                <w:szCs w:val="24"/>
              </w:rPr>
            </w:pPr>
            <w:r>
              <w:rPr>
                <w:rFonts w:hint="eastAsia" w:ascii="宋体" w:hAnsi="宋体" w:eastAsia="宋体" w:cs="宋体"/>
                <w:color w:val="000000"/>
                <w:kern w:val="0"/>
                <w:sz w:val="24"/>
                <w:szCs w:val="24"/>
              </w:rPr>
              <w:t>固态有机废弃物生物转化及其资源梯级利用</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生命健康</w:t>
            </w:r>
          </w:p>
          <w:p>
            <w:pPr>
              <w:overflowPunct w:val="0"/>
              <w:autoSpaceDE w:val="0"/>
              <w:autoSpaceDN w:val="0"/>
              <w:adjustRightInd w:val="0"/>
              <w:jc w:val="center"/>
              <w:textAlignment w:val="center"/>
              <w:rPr>
                <w:rFonts w:ascii="宋体" w:hAnsi="宋体" w:eastAsia="宋体" w:cs="宋体"/>
                <w:kern w:val="0"/>
                <w:sz w:val="24"/>
                <w:szCs w:val="24"/>
              </w:rPr>
            </w:pPr>
            <w:r>
              <w:rPr>
                <w:rFonts w:hint="eastAsia" w:ascii="宋体" w:hAnsi="宋体" w:eastAsia="宋体" w:cs="宋体"/>
                <w:kern w:val="0"/>
                <w:sz w:val="24"/>
                <w:szCs w:val="24"/>
              </w:rPr>
              <w:t>（含医学）</w:t>
            </w: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如何创建5G+三早全周期健康管理系统？</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spacing w:before="1200" w:line="20" w:lineRule="exact"/>
              <w:jc w:val="center"/>
              <w:textAlignment w:val="baseline"/>
              <w:rPr>
                <w:rFonts w:ascii="宋体" w:hAnsi="宋体" w:eastAsia="仿宋_GB2312" w:cs="宋体"/>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ind w:right="-210" w:rightChars="-10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如何开发新型免疫细胞在肿瘤治疗中的新途径与新技术？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中医药临床疗效评价创新方法与技术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废弃物资源生态安全利用技术集成</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spacing w:val="-12"/>
                <w:kern w:val="0"/>
                <w:sz w:val="24"/>
                <w:szCs w:val="24"/>
              </w:rPr>
            </w:pPr>
            <w:r>
              <w:rPr>
                <w:rFonts w:hint="eastAsia" w:ascii="宋体" w:hAnsi="宋体" w:eastAsia="宋体" w:cs="宋体"/>
                <w:color w:val="000000"/>
                <w:kern w:val="0"/>
                <w:sz w:val="24"/>
                <w:szCs w:val="24"/>
              </w:rPr>
              <w:t>全智能化植物工厂关键技术难题</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单细胞多组学技术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基于核酸物质的基因精准调控与医药技术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DNA存储技术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免疫微环境分子分型及免疫治疗耐药机制</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先进材料</w:t>
            </w: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如何制造桌面级的微小型反应堆电池？</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信息化条件下国家关键基础设施如何防范重大电磁威胁？</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纳米纤维产业化生产关键技术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1791" w:type="dxa"/>
            <w:vMerge w:val="restart"/>
            <w:tcBorders>
              <w:top w:val="single" w:color="000000" w:sz="4" w:space="0"/>
              <w:left w:val="single" w:color="000000" w:sz="4" w:space="0"/>
              <w:bottom w:val="nil"/>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信息科技</w:t>
            </w: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如何利用人工智能实现医疗影像多病种识别并进行辅助诊疗？</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spacing w:val="-6"/>
                <w:kern w:val="0"/>
                <w:sz w:val="24"/>
                <w:szCs w:val="24"/>
              </w:rPr>
            </w:pPr>
            <w:r>
              <w:rPr>
                <w:rFonts w:hint="eastAsia" w:ascii="宋体" w:hAnsi="宋体" w:eastAsia="宋体" w:cs="宋体"/>
                <w:color w:val="000000"/>
                <w:kern w:val="0"/>
                <w:sz w:val="24"/>
                <w:szCs w:val="24"/>
              </w:rPr>
              <w:t>硅光技术能否促成光电子和微电子的融合？</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1791" w:type="dxa"/>
            <w:vMerge w:val="continue"/>
            <w:tcBorders>
              <w:top w:val="single" w:color="000000" w:sz="4" w:space="0"/>
              <w:left w:val="single" w:color="000000" w:sz="4" w:space="0"/>
              <w:bottom w:val="nil"/>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煤矿重特大灾害智能报警方法与技术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1791" w:type="dxa"/>
            <w:vMerge w:val="continue"/>
            <w:tcBorders>
              <w:top w:val="single" w:color="000000" w:sz="4" w:space="0"/>
              <w:left w:val="single" w:color="000000" w:sz="4" w:space="0"/>
              <w:bottom w:val="nil"/>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城市交通基础设施智能协同运营技术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1791" w:type="dxa"/>
            <w:vMerge w:val="continue"/>
            <w:tcBorders>
              <w:top w:val="single" w:color="000000" w:sz="4" w:space="0"/>
              <w:left w:val="single" w:color="000000" w:sz="4" w:space="0"/>
              <w:bottom w:val="nil"/>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工程结构安全的长期智能监测预警技术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1791" w:type="dxa"/>
            <w:vMerge w:val="continue"/>
            <w:tcBorders>
              <w:top w:val="single" w:color="000000" w:sz="4" w:space="0"/>
              <w:left w:val="single" w:color="000000" w:sz="4" w:space="0"/>
              <w:bottom w:val="nil"/>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大规模共享无人载运工具的协同智动管控仿真</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1791" w:type="dxa"/>
            <w:vMerge w:val="continue"/>
            <w:tcBorders>
              <w:top w:val="single" w:color="000000" w:sz="4" w:space="0"/>
              <w:left w:val="single" w:color="000000" w:sz="4" w:space="0"/>
              <w:bottom w:val="nil"/>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工业互联网中数据集成和边缘处理技术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1791" w:type="dxa"/>
            <w:vMerge w:val="restart"/>
            <w:tcBorders>
              <w:top w:val="single" w:color="000000" w:sz="4" w:space="0"/>
              <w:left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r>
              <w:rPr>
                <w:rFonts w:hint="eastAsia" w:ascii="宋体" w:hAnsi="宋体" w:eastAsia="宋体" w:cs="宋体"/>
                <w:color w:val="000000"/>
                <w:kern w:val="0"/>
                <w:sz w:val="24"/>
                <w:szCs w:val="24"/>
              </w:rPr>
              <w:t>制造科技</w:t>
            </w: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如何解决三维半导体芯片中纳米结构测量难题？</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如何解决集成电路制造工艺中缺陷在线检测难题？</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微腔中的力光电子传感？</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基于多源信息融合的大型复杂系统健康状态监测与评估</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先进微纳机器人技术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1791" w:type="dxa"/>
            <w:vMerge w:val="continue"/>
            <w:tcBorders>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spacing w:val="-12"/>
                <w:kern w:val="0"/>
                <w:sz w:val="24"/>
                <w:szCs w:val="24"/>
              </w:rPr>
            </w:pPr>
            <w:r>
              <w:rPr>
                <w:rFonts w:hint="eastAsia" w:ascii="宋体" w:hAnsi="宋体" w:eastAsia="宋体" w:cs="宋体"/>
                <w:color w:val="000000"/>
                <w:kern w:val="0"/>
                <w:sz w:val="24"/>
                <w:szCs w:val="24"/>
              </w:rPr>
              <w:t>人工智能在智能驾驶工程技术开发中的应用研究</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数理化基础</w:t>
            </w:r>
          </w:p>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科学</w:t>
            </w: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如何开发比能量倍增的全固态二次电池？</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1791" w:type="dxa"/>
            <w:vMerge w:val="continue"/>
            <w:tcBorders>
              <w:left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如何突破光刻技术难题？</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高能量密度动力电池材料电化学</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仿宋_GB2312" w:cs="宋体"/>
                <w:color w:val="000000"/>
                <w:kern w:val="0"/>
                <w:sz w:val="24"/>
                <w:szCs w:val="24"/>
              </w:rPr>
            </w:pPr>
            <w:r>
              <w:rPr>
                <w:rFonts w:hint="eastAsia" w:ascii="宋体" w:hAnsi="宋体" w:eastAsia="宋体" w:cs="宋体"/>
                <w:color w:val="000000"/>
                <w:kern w:val="0"/>
                <w:sz w:val="24"/>
                <w:szCs w:val="24"/>
              </w:rPr>
              <w:t>资源能源</w:t>
            </w: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2020</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如何在可再生能源规模化电解水制氢生产中实现“大规模”“低能耗”“高稳定性”三者的统一？</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千米级深竖井全断面掘进技术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2019</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海洋天然气水合物和油气一体化勘探开发机理和关键工程技术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未来全球能源互联网的关键技术</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2018</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高水平放射性废物安全处置</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1791" w:type="dxa"/>
            <w:vMerge w:val="restart"/>
            <w:tcBorders>
              <w:top w:val="single" w:color="000000" w:sz="4" w:space="0"/>
              <w:left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生态环境</w:t>
            </w: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如何通过重要生态系统修复工程构建精准高效的生态保护网络和恢复生物多样性？</w:t>
            </w:r>
          </w:p>
        </w:tc>
      </w:tr>
      <w:tr>
        <w:tblPrEx>
          <w:tblCellMar>
            <w:top w:w="0" w:type="dxa"/>
            <w:left w:w="108" w:type="dxa"/>
            <w:bottom w:w="0" w:type="dxa"/>
            <w:right w:w="108" w:type="dxa"/>
          </w:tblCellMar>
        </w:tblPrEx>
        <w:trPr>
          <w:trHeight w:val="340" w:hRule="atLeast"/>
          <w:jc w:val="center"/>
        </w:trPr>
        <w:tc>
          <w:tcPr>
            <w:tcW w:w="737"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1791" w:type="dxa"/>
            <w:vMerge w:val="continue"/>
            <w:tcBorders>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baseline"/>
              <w:rPr>
                <w:rFonts w:hint="eastAsia" w:ascii="宋体" w:hAnsi="宋体" w:eastAsia="宋体" w:cs="宋体"/>
                <w:color w:val="000000"/>
                <w:kern w:val="0"/>
                <w:sz w:val="24"/>
                <w:szCs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如何构建我国生态系统碳汇扩增的技术体系？</w:t>
            </w:r>
          </w:p>
        </w:tc>
      </w:tr>
    </w:tbl>
    <w:p>
      <w:pPr>
        <w:overflowPunct w:val="0"/>
        <w:autoSpaceDE w:val="0"/>
        <w:autoSpaceDN w:val="0"/>
        <w:adjustRightInd w:val="0"/>
        <w:spacing w:afterLines="100" w:line="700" w:lineRule="exact"/>
        <w:jc w:val="center"/>
        <w:textAlignment w:val="baseline"/>
        <w:rPr>
          <w:rFonts w:hint="eastAsia" w:ascii="小标宋" w:hAnsi="小标宋" w:eastAsia="小标宋" w:cs="小标宋"/>
          <w:bCs/>
          <w:kern w:val="0"/>
          <w:sz w:val="36"/>
          <w:szCs w:val="36"/>
        </w:rPr>
      </w:pPr>
      <w:r>
        <w:rPr>
          <w:rFonts w:ascii="Calibri" w:hAnsi="Calibri" w:eastAsia="宋体" w:cs="Times New Roman"/>
          <w:kern w:val="0"/>
          <w:sz w:val="28"/>
          <w:szCs w:val="20"/>
        </w:rPr>
        <w:br w:type="page"/>
      </w:r>
      <w:r>
        <w:rPr>
          <w:rFonts w:hint="eastAsia" w:ascii="小标宋" w:hAnsi="小标宋" w:eastAsia="小标宋" w:cs="小标宋"/>
          <w:bCs/>
          <w:kern w:val="0"/>
          <w:sz w:val="36"/>
          <w:szCs w:val="36"/>
        </w:rPr>
        <w:t>（三）产业技术问题清单</w:t>
      </w:r>
    </w:p>
    <w:tbl>
      <w:tblPr>
        <w:tblStyle w:val="3"/>
        <w:tblW w:w="9689" w:type="dxa"/>
        <w:jc w:val="center"/>
        <w:tblLayout w:type="fixed"/>
        <w:tblCellMar>
          <w:top w:w="0" w:type="dxa"/>
          <w:left w:w="0" w:type="dxa"/>
          <w:bottom w:w="0" w:type="dxa"/>
          <w:right w:w="0" w:type="dxa"/>
        </w:tblCellMar>
      </w:tblPr>
      <w:tblGrid>
        <w:gridCol w:w="737"/>
        <w:gridCol w:w="1791"/>
        <w:gridCol w:w="1123"/>
        <w:gridCol w:w="6038"/>
      </w:tblGrid>
      <w:tr>
        <w:tblPrEx>
          <w:tblCellMar>
            <w:top w:w="0" w:type="dxa"/>
            <w:left w:w="0" w:type="dxa"/>
            <w:bottom w:w="0" w:type="dxa"/>
            <w:right w:w="0"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1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所属领域</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年份</w:t>
            </w:r>
          </w:p>
        </w:tc>
        <w:tc>
          <w:tcPr>
            <w:tcW w:w="6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问题名称</w:t>
            </w:r>
          </w:p>
        </w:tc>
      </w:tr>
      <w:tr>
        <w:tblPrEx>
          <w:tblCellMar>
            <w:top w:w="0" w:type="dxa"/>
            <w:left w:w="0" w:type="dxa"/>
            <w:bottom w:w="0" w:type="dxa"/>
            <w:right w:w="0"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新一代信息技术</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如何实现面向大规模集成光芯片的精准光子集成？</w:t>
            </w:r>
          </w:p>
        </w:tc>
      </w:tr>
      <w:tr>
        <w:tblPrEx>
          <w:tblCellMar>
            <w:top w:w="0" w:type="dxa"/>
            <w:left w:w="0" w:type="dxa"/>
            <w:bottom w:w="0" w:type="dxa"/>
            <w:right w:w="0"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新材料</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如何开发针对老龄化疾病的医用人工植入材料？</w:t>
            </w:r>
          </w:p>
        </w:tc>
      </w:tr>
      <w:tr>
        <w:tblPrEx>
          <w:tblCellMar>
            <w:top w:w="0" w:type="dxa"/>
            <w:left w:w="0" w:type="dxa"/>
            <w:bottom w:w="0" w:type="dxa"/>
            <w:right w:w="0"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高端装备</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如何开发融合软体机器人与智能影控集成技术的腔道手术机器人产品？</w:t>
            </w:r>
          </w:p>
        </w:tc>
      </w:tr>
      <w:tr>
        <w:tblPrEx>
          <w:tblCellMar>
            <w:top w:w="0" w:type="dxa"/>
            <w:left w:w="0" w:type="dxa"/>
            <w:bottom w:w="0" w:type="dxa"/>
            <w:right w:w="0"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新能源</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如何开发大规模低能耗液氢技术和长距离绿氢储运技术？</w:t>
            </w:r>
          </w:p>
        </w:tc>
      </w:tr>
      <w:tr>
        <w:tblPrEx>
          <w:tblCellMar>
            <w:top w:w="0" w:type="dxa"/>
            <w:left w:w="0" w:type="dxa"/>
            <w:bottom w:w="0" w:type="dxa"/>
            <w:right w:w="0"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航空航天</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如何解决我国航空发动机短舱关键技术问题？</w:t>
            </w:r>
          </w:p>
        </w:tc>
      </w:tr>
      <w:tr>
        <w:tblPrEx>
          <w:tblCellMar>
            <w:top w:w="0" w:type="dxa"/>
            <w:left w:w="0" w:type="dxa"/>
            <w:bottom w:w="0" w:type="dxa"/>
            <w:right w:w="0"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生物技术</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如何突破耕地重金属的靶向快速经济安全减污技术？</w:t>
            </w:r>
          </w:p>
        </w:tc>
      </w:tr>
      <w:tr>
        <w:tblPrEx>
          <w:tblCellMar>
            <w:top w:w="0" w:type="dxa"/>
            <w:left w:w="0" w:type="dxa"/>
            <w:bottom w:w="0" w:type="dxa"/>
            <w:right w:w="0"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绿色环保</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如何利用风光水加快实现“碳中和”目标？</w:t>
            </w:r>
          </w:p>
        </w:tc>
      </w:tr>
      <w:tr>
        <w:tblPrEx>
          <w:tblCellMar>
            <w:top w:w="0" w:type="dxa"/>
            <w:left w:w="0" w:type="dxa"/>
            <w:bottom w:w="0" w:type="dxa"/>
            <w:right w:w="0"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海洋装备</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如何攻克漂浮式海上风电关键技术研发与工程示范难题?</w:t>
            </w:r>
          </w:p>
        </w:tc>
      </w:tr>
      <w:tr>
        <w:tblPrEx>
          <w:tblCellMar>
            <w:top w:w="0" w:type="dxa"/>
            <w:left w:w="0" w:type="dxa"/>
            <w:bottom w:w="0" w:type="dxa"/>
            <w:right w:w="0"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新材料</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如何制备高洁净高均质超细晶高端轴承钢材料？</w:t>
            </w:r>
          </w:p>
        </w:tc>
      </w:tr>
      <w:tr>
        <w:tblPrEx>
          <w:tblCellMar>
            <w:top w:w="0" w:type="dxa"/>
            <w:left w:w="0" w:type="dxa"/>
            <w:bottom w:w="0" w:type="dxa"/>
            <w:right w:w="0" w:type="dxa"/>
          </w:tblCellMar>
        </w:tblPrEx>
        <w:trPr>
          <w:trHeight w:val="454" w:hRule="atLeast"/>
          <w:jc w:val="center"/>
        </w:trPr>
        <w:tc>
          <w:tcPr>
            <w:tcW w:w="7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7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航空航天</w:t>
            </w:r>
          </w:p>
        </w:tc>
        <w:tc>
          <w:tcPr>
            <w:tcW w:w="11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2021</w:t>
            </w:r>
          </w:p>
        </w:tc>
        <w:tc>
          <w:tcPr>
            <w:tcW w:w="60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overflowPunct w:val="0"/>
              <w:autoSpaceDE w:val="0"/>
              <w:autoSpaceDN w:val="0"/>
              <w:adjustRightInd w:val="0"/>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如何发展与5G/6G融合发展的卫星互联网络通信技术？</w:t>
            </w:r>
          </w:p>
        </w:tc>
      </w:tr>
    </w:tbl>
    <w:p>
      <w:pPr>
        <w:overflowPunct w:val="0"/>
        <w:autoSpaceDE w:val="0"/>
        <w:autoSpaceDN w:val="0"/>
        <w:adjustRightInd w:val="0"/>
        <w:jc w:val="center"/>
        <w:textAlignment w:val="center"/>
        <w:rPr>
          <w:rFonts w:hint="eastAsia" w:ascii="宋体" w:hAnsi="宋体" w:eastAsia="宋体" w:cs="宋体"/>
          <w:color w:val="000000"/>
          <w:kern w:val="0"/>
          <w:sz w:val="24"/>
          <w:szCs w:val="24"/>
        </w:rPr>
      </w:pPr>
    </w:p>
    <w:p>
      <w:pPr>
        <w:overflowPunct w:val="0"/>
        <w:autoSpaceDE w:val="0"/>
        <w:autoSpaceDN w:val="0"/>
        <w:adjustRightInd w:val="0"/>
        <w:spacing w:line="580" w:lineRule="exact"/>
        <w:textAlignment w:val="baseline"/>
        <w:rPr>
          <w:rFonts w:ascii="仿宋_GB2312" w:hAnsi="Garamond" w:eastAsia="仿宋_GB2312" w:cs="Times New Roman"/>
          <w:kern w:val="0"/>
          <w:sz w:val="30"/>
          <w:szCs w:val="28"/>
        </w:rPr>
      </w:pPr>
    </w:p>
    <w:p>
      <w:pPr>
        <w:widowControl/>
        <w:jc w:val="left"/>
        <w:rPr>
          <w:rFonts w:hint="eastAsia" w:ascii="仿宋_GB2312" w:hAnsi="宋体" w:eastAsia="仿宋_GB2312" w:cs="宋体"/>
          <w:color w:val="000000"/>
          <w:sz w:val="32"/>
          <w:szCs w:val="32"/>
        </w:rPr>
      </w:pPr>
      <w:bookmarkStart w:id="0" w:name="_GoBack"/>
      <w:bookmarkEnd w:id="0"/>
    </w:p>
    <w:p>
      <w:pPr>
        <w:spacing w:line="540" w:lineRule="exact"/>
        <w:ind w:firstLine="640" w:firstLineChars="200"/>
        <w:rPr>
          <w:rFonts w:ascii="仿宋_GB2312" w:hAnsi="宋体" w:eastAsia="仿宋_GB2312" w:cs="宋体"/>
          <w:color w:val="000000"/>
          <w:sz w:val="32"/>
          <w:szCs w:val="32"/>
        </w:rPr>
      </w:pPr>
    </w:p>
    <w:p>
      <w:pPr>
        <w:widowControl/>
        <w:spacing w:line="580" w:lineRule="exact"/>
        <w:ind w:firstLine="640" w:firstLineChars="200"/>
        <w:rPr>
          <w:rFonts w:ascii="仿宋" w:hAnsi="仿宋" w:eastAsia="仿宋" w:cs="宋体"/>
          <w:kern w:val="0"/>
          <w:sz w:val="32"/>
          <w:szCs w:val="32"/>
        </w:rPr>
      </w:pPr>
    </w:p>
    <w:p/>
    <w:sectPr>
      <w:footerReference r:id="rId3" w:type="default"/>
      <w:footerReference r:id="rId4" w:type="even"/>
      <w:pgSz w:w="11906" w:h="16838"/>
      <w:pgMar w:top="1701" w:right="1474" w:bottom="992" w:left="1588" w:header="0" w:footer="1644"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小标宋">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33432"/>
      <w:docPartObj>
        <w:docPartGallery w:val="autotext"/>
      </w:docPartObj>
    </w:sdtPr>
    <w:sdtContent>
      <w:p>
        <w:pPr>
          <w:pStyle w:val="2"/>
          <w:jc w:val="right"/>
        </w:pPr>
        <w:r>
          <w:fldChar w:fldCharType="begin"/>
        </w:r>
        <w:r>
          <w:instrText xml:space="preserve"> PAGE   \* MERGEFORMAT </w:instrText>
        </w:r>
        <w:r>
          <w:fldChar w:fldCharType="separate"/>
        </w:r>
        <w:r>
          <w:rPr>
            <w:lang w:val="zh-CN"/>
          </w:rPr>
          <w:t>-</w:t>
        </w:r>
        <w:r>
          <w:t xml:space="preserve"> </w:t>
        </w:r>
        <w:r>
          <w:rPr>
            <w:rFonts w:ascii="Times New Roman" w:hAnsi="Times New Roman" w:cs="Times New Roman"/>
            <w:sz w:val="24"/>
            <w:szCs w:val="24"/>
          </w:rPr>
          <w:t>3</w:t>
        </w:r>
        <w:r>
          <w:t xml:space="preserve">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33409"/>
      <w:docPartObj>
        <w:docPartGallery w:val="autotext"/>
      </w:docPartObj>
    </w:sdtPr>
    <w:sdtContent>
      <w:p>
        <w:pPr>
          <w:pStyle w:val="2"/>
        </w:pPr>
        <w:r>
          <w:fldChar w:fldCharType="begin"/>
        </w:r>
        <w:r>
          <w:instrText xml:space="preserve"> PAGE   \* MERGEFORMAT </w:instrText>
        </w:r>
        <w:r>
          <w:fldChar w:fldCharType="separate"/>
        </w:r>
        <w:r>
          <w:rPr>
            <w:lang w:val="zh-CN"/>
          </w:rPr>
          <w:t>-</w:t>
        </w:r>
        <w:r>
          <w:t xml:space="preserve"> </w:t>
        </w:r>
        <w:r>
          <w:rPr>
            <w:rFonts w:ascii="Times New Roman" w:hAnsi="Times New Roman" w:cs="Times New Roman"/>
            <w:sz w:val="24"/>
            <w:szCs w:val="24"/>
          </w:rPr>
          <w:t>2</w:t>
        </w:r>
        <w:r>
          <w:rPr>
            <w:sz w:val="24"/>
            <w:szCs w:val="24"/>
          </w:rPr>
          <w:t xml:space="preserve"> </w:t>
        </w:r>
        <w:r>
          <w:t>-</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58433B"/>
    <w:rsid w:val="56D4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Popcorn✨</cp:lastModifiedBy>
  <dcterms:modified xsi:type="dcterms:W3CDTF">2022-02-14T02:56:39Z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EE7B1A4BAB104EC78F1A005087CD0733</vt:lpwstr>
  </property>
</Properties>
</file>